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01DC79FE" w:rsidR="00F862D6" w:rsidRPr="003E6B9A" w:rsidRDefault="00FB4818" w:rsidP="0037111D">
            <w:r w:rsidRPr="00FB4818">
              <w:rPr>
                <w:rFonts w:ascii="Helvetica" w:hAnsi="Helvetica"/>
              </w:rPr>
              <w:t>12745/2025-SŽ-SSV-Ú3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1D314E" w:rsidRDefault="00F862D6" w:rsidP="0077673A">
            <w:r w:rsidRPr="001D314E">
              <w:t>Listů/příloh</w:t>
            </w:r>
          </w:p>
        </w:tc>
        <w:tc>
          <w:tcPr>
            <w:tcW w:w="2552" w:type="dxa"/>
          </w:tcPr>
          <w:p w14:paraId="333CD487" w14:textId="7611D775" w:rsidR="00F862D6" w:rsidRPr="001D314E" w:rsidRDefault="001D314E" w:rsidP="00CC1E2B">
            <w:r w:rsidRPr="001D314E">
              <w:t>4</w:t>
            </w:r>
            <w:r w:rsidR="003E6B9A" w:rsidRPr="001D314E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755A72E" w:rsidR="00F862D6" w:rsidRPr="003E6B9A" w:rsidRDefault="00962C6D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744E1F28" w:rsidR="009A7568" w:rsidRPr="003E6B9A" w:rsidRDefault="00962C6D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58DE36B" w:rsidR="009A7568" w:rsidRPr="003E6B9A" w:rsidRDefault="00962C6D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F6F1C8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D314E">
              <w:rPr>
                <w:noProof/>
              </w:rPr>
              <w:t>12. prosince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24E1B911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3F4FB4">
        <w:rPr>
          <w:rFonts w:eastAsia="Times New Roman" w:cs="Times New Roman"/>
          <w:lang w:eastAsia="cs-CZ"/>
        </w:rPr>
        <w:t>4</w:t>
      </w:r>
    </w:p>
    <w:p w14:paraId="25C6ADAC" w14:textId="7633F0E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962C6D" w:rsidRPr="00962C6D">
        <w:rPr>
          <w:rFonts w:eastAsia="Calibri" w:cs="Times New Roman"/>
          <w:b/>
          <w:bCs/>
          <w:lang w:eastAsia="cs-CZ"/>
        </w:rPr>
        <w:t>Rekonstrukce úseku tratě Opava Východ – Kravaře ve Slezsku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572EE170" w14:textId="77777777" w:rsidR="003F4FB4" w:rsidRDefault="003F4FB4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D913C0A" w14:textId="77777777" w:rsidR="003F4FB4" w:rsidRDefault="003F4FB4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0391FBC2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3F4FB4">
        <w:rPr>
          <w:rFonts w:eastAsia="Calibri" w:cs="Times New Roman"/>
          <w:b/>
          <w:lang w:eastAsia="cs-CZ"/>
        </w:rPr>
        <w:t>22</w:t>
      </w:r>
      <w:r w:rsidRPr="00BD5319">
        <w:rPr>
          <w:rFonts w:eastAsia="Calibri" w:cs="Times New Roman"/>
          <w:b/>
          <w:lang w:eastAsia="cs-CZ"/>
        </w:rPr>
        <w:t>:</w:t>
      </w:r>
    </w:p>
    <w:p w14:paraId="798C8706" w14:textId="77777777" w:rsidR="003F4FB4" w:rsidRDefault="003F4FB4" w:rsidP="003F4FB4">
      <w:r>
        <w:t>V návaznosti na odpověď zadavatele č.6 se dále tážeme.</w:t>
      </w:r>
    </w:p>
    <w:p w14:paraId="1F24F7FA" w14:textId="77777777" w:rsidR="003F4FB4" w:rsidRDefault="003F4FB4" w:rsidP="003F4FB4">
      <w:r>
        <w:t xml:space="preserve">Zadavatel v odpovědi potvrdil, že pochozí kabelové žlaby (zřízení pochozí kabelové trasy) od km 26,469 až po km 27,128 jsou součástí žel. </w:t>
      </w:r>
      <w:proofErr w:type="gramStart"/>
      <w:r>
        <w:t>spodku</w:t>
      </w:r>
      <w:proofErr w:type="gramEnd"/>
      <w:r>
        <w:t xml:space="preserve"> tj. stavebního objektu SO 112.11.01. Zároveň ale nevyloučil možnost pochozí kabelové </w:t>
      </w:r>
      <w:proofErr w:type="spellStart"/>
      <w:r>
        <w:t>žlabované</w:t>
      </w:r>
      <w:proofErr w:type="spellEnd"/>
      <w:r>
        <w:t xml:space="preserve"> trasy mimo tento rozsah.</w:t>
      </w:r>
    </w:p>
    <w:p w14:paraId="684A02F7" w14:textId="77777777" w:rsidR="003F4FB4" w:rsidRDefault="003F4FB4" w:rsidP="003F4FB4">
      <w:r>
        <w:t>Zřízení takové pochozí kabelové trasy je nákladově náročné, upozorňujeme a ptáme se.</w:t>
      </w:r>
    </w:p>
    <w:p w14:paraId="6AC27E3F" w14:textId="77777777" w:rsidR="003F4FB4" w:rsidRDefault="003F4FB4" w:rsidP="003F4FB4">
      <w:r>
        <w:t xml:space="preserve">a) Chápeme správně, že zbývajícím rozsahem se myslí trasa od km 24,342 do km 26,469 a od km 27,128 po km 28,941 – tj. </w:t>
      </w:r>
      <w:proofErr w:type="gramStart"/>
      <w:r>
        <w:t>3940m</w:t>
      </w:r>
      <w:proofErr w:type="gramEnd"/>
      <w:r>
        <w:t xml:space="preserve"> (rozsah od km 26,469 až po km 27,128 je dle odpovědi zadavatele součástí spodku SO 112.11.01)?</w:t>
      </w:r>
    </w:p>
    <w:p w14:paraId="303A1BBD" w14:textId="4C603A7F" w:rsidR="003F4FB4" w:rsidRDefault="003F4FB4" w:rsidP="003F4FB4">
      <w:r>
        <w:t xml:space="preserve">b) </w:t>
      </w:r>
      <w:bookmarkStart w:id="1" w:name="_Hlk216254690"/>
      <w:r>
        <w:t xml:space="preserve">V odpovědi č.6 zadavatel dále uvádí, že „Vyplyne-li z technického řešení nutnost pokládky pochozích kabelových žlabů mimo tento rozsah </w:t>
      </w:r>
      <w:r>
        <w:rPr>
          <w:i/>
          <w:iCs/>
        </w:rPr>
        <w:t>(mimo rozsah spodku)</w:t>
      </w:r>
      <w:r>
        <w:t xml:space="preserve">, budou náplní příslušného souboru (předpokládáme PS580.11.01)“. Explicitně upozorňujeme, že nevyloučí-li zadavatel zřízení pochozí kabelové trasy v rozsahu dle a) (tzn. nad rámec od km 26,469 až po km 27,128), má to obrovský dopad na nákladovou stránku. </w:t>
      </w:r>
      <w:bookmarkEnd w:id="1"/>
    </w:p>
    <w:p w14:paraId="4046F535" w14:textId="77777777" w:rsidR="003F4FB4" w:rsidRDefault="003F4FB4" w:rsidP="003F4FB4">
      <w:r>
        <w:t xml:space="preserve">Žádáme zadavatele o přehodnocení požadovaného řešení kromě od km 26,469 až po km 27,128 tak, že uchazeč bude uvažovat pouze a jen pokládku kabelů do standardního výkopu do zemních žlabů bez dalších zvláštních požadavků (např. pochozí žlaby; </w:t>
      </w:r>
      <w:proofErr w:type="spellStart"/>
      <w:r>
        <w:t>multikanály</w:t>
      </w:r>
      <w:proofErr w:type="spellEnd"/>
      <w:r>
        <w:t>/</w:t>
      </w:r>
      <w:proofErr w:type="spellStart"/>
      <w:r>
        <w:t>kabelovody</w:t>
      </w:r>
      <w:proofErr w:type="spellEnd"/>
      <w:r>
        <w:t xml:space="preserve">; nadzemní kabelová </w:t>
      </w:r>
      <w:proofErr w:type="spellStart"/>
      <w:r>
        <w:t>žlabovaná</w:t>
      </w:r>
      <w:proofErr w:type="spellEnd"/>
      <w:r>
        <w:t xml:space="preserve"> trasa apod.).</w:t>
      </w:r>
    </w:p>
    <w:p w14:paraId="6D16A484" w14:textId="77777777" w:rsidR="00BD5319" w:rsidRPr="001D314E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1D314E">
        <w:rPr>
          <w:rFonts w:eastAsia="Calibri" w:cs="Times New Roman"/>
          <w:b/>
          <w:lang w:eastAsia="cs-CZ"/>
        </w:rPr>
        <w:t xml:space="preserve">Odpověď: </w:t>
      </w:r>
    </w:p>
    <w:p w14:paraId="4F1B028C" w14:textId="56FC9433" w:rsidR="00EE75CB" w:rsidRPr="001D314E" w:rsidRDefault="00EE75CB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1D314E">
        <w:rPr>
          <w:rFonts w:eastAsia="Calibri" w:cs="Times New Roman"/>
          <w:bCs/>
          <w:lang w:eastAsia="cs-CZ"/>
        </w:rPr>
        <w:t>a)</w:t>
      </w:r>
      <w:r w:rsidR="0021293D" w:rsidRPr="001D314E">
        <w:rPr>
          <w:rFonts w:eastAsia="Calibri" w:cs="Times New Roman"/>
          <w:b/>
          <w:lang w:eastAsia="cs-CZ"/>
        </w:rPr>
        <w:t xml:space="preserve"> </w:t>
      </w:r>
      <w:r w:rsidR="0021293D" w:rsidRPr="001D314E">
        <w:rPr>
          <w:rFonts w:eastAsia="Calibri" w:cs="Times New Roman"/>
          <w:bCs/>
          <w:lang w:eastAsia="cs-CZ"/>
        </w:rPr>
        <w:t>Ano</w:t>
      </w:r>
    </w:p>
    <w:p w14:paraId="2C423BF0" w14:textId="77777777" w:rsidR="00EE75CB" w:rsidRPr="001D314E" w:rsidRDefault="00EE75CB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14E41B" w14:textId="66B3CA1D" w:rsidR="00EE75CB" w:rsidRPr="001D314E" w:rsidRDefault="00EE75CB" w:rsidP="00EE75C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D314E">
        <w:rPr>
          <w:rFonts w:eastAsia="Calibri" w:cs="Times New Roman"/>
          <w:bCs/>
          <w:lang w:eastAsia="cs-CZ"/>
        </w:rPr>
        <w:t>b)</w:t>
      </w:r>
      <w:r w:rsidRPr="001D314E">
        <w:rPr>
          <w:rFonts w:ascii="Arial" w:hAnsi="Arial" w:cs="Arial"/>
          <w:bCs/>
        </w:rPr>
        <w:t xml:space="preserve"> </w:t>
      </w:r>
      <w:bookmarkStart w:id="2" w:name="_Hlk216254728"/>
      <w:r w:rsidRPr="001D314E">
        <w:rPr>
          <w:rFonts w:eastAsia="Calibri" w:cs="Times New Roman"/>
          <w:bCs/>
          <w:lang w:eastAsia="cs-CZ"/>
        </w:rPr>
        <w:t>V úseku, kde je vedena pouze kabelová trasa a není zasahováno do železničního svršku a spodku, se jeví pravděpodobnější varianta uložení kabelové trasy mimo těleso železničního spodku, tedy bez pochozích žlabů. Jedná se pouze o předpoklad, který musí potvrdit projektová dokumentace, jejíž zpracování je předmětem této veřejné soutěže. Použití konkrétní polohy a typu kabelové trasy vychází z prostorového uspořádání samotného tělesa, majetkoprávních vztahů a projednání s odbornými složkami investora a budoucím správcem</w:t>
      </w:r>
      <w:r w:rsidR="000D5CA8" w:rsidRPr="001D314E">
        <w:rPr>
          <w:rFonts w:eastAsia="Calibri" w:cs="Times New Roman"/>
          <w:bCs/>
          <w:lang w:eastAsia="cs-CZ"/>
        </w:rPr>
        <w:t>.</w:t>
      </w:r>
    </w:p>
    <w:bookmarkEnd w:id="2"/>
    <w:p w14:paraId="1113CF89" w14:textId="77777777" w:rsidR="003F4FB4" w:rsidRDefault="003F4FB4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A3627DC" w14:textId="77777777" w:rsidR="001D314E" w:rsidRDefault="001D314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E1CB72" w14:textId="77777777" w:rsidR="001D314E" w:rsidRDefault="001D314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0AA415B7" w:rsidR="00BD5319" w:rsidRPr="00BD5319" w:rsidRDefault="00BD5319" w:rsidP="001D314E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>Dotaz č. 2</w:t>
      </w:r>
      <w:r w:rsidR="003F4FB4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144805CC" w14:textId="77777777" w:rsidR="001D314E" w:rsidRDefault="003F4FB4" w:rsidP="001D314E">
      <w:pPr>
        <w:spacing w:after="0"/>
      </w:pPr>
      <w:r>
        <w:t xml:space="preserve">Zadávací dokumentace, konkrétně „Pokyny pro dodavatele_Opava-Kravaře.pdf“ v části 7. uvádí, že „Pokud dodavatel o vysvětlení požádá nejpozději 8 pracovních dnů před uplynutím lhůty pro podání nabídek, zadavatel odpoví včetně přesného znění žádosti bez identifikace tazatele nejpozději do 3 pracovních dnů od doručení příslušné žádosti.“ Z dotazů položených zadavateli je zcela zřejmý zájem uchazečů o podání a řešení cenové nabídky. </w:t>
      </w:r>
    </w:p>
    <w:p w14:paraId="002E726F" w14:textId="42821AB9" w:rsidR="00BD5319" w:rsidRPr="003F4FB4" w:rsidRDefault="003F4FB4" w:rsidP="001D314E">
      <w:pPr>
        <w:spacing w:after="0"/>
      </w:pPr>
      <w:r>
        <w:t>I z odpovědí/vysvětlení zadavatele vyplývá nutnost dalších dotazů/vysvětlení. Zadavatel nemění lhůtu pro podání nabídek (i přes množství dotazů/odpovědí) a tím krátí a nedává uchazečům dostatek prostoru na reakci na odpovědi zadavatele a jejich zapracování. Omezuje možnost dalších zásadních dotazů/vysvětlení. Krajním důsledkem může být odmítnutí účasti za takových podmínek u tak rozsáhlé</w:t>
      </w:r>
      <w:r w:rsidR="001D314E">
        <w:t xml:space="preserve"> </w:t>
      </w:r>
      <w:r>
        <w:t>(</w:t>
      </w:r>
      <w:proofErr w:type="gramStart"/>
      <w:r>
        <w:t>0,5+mld.Kč</w:t>
      </w:r>
      <w:proofErr w:type="gramEnd"/>
      <w:r>
        <w:t>) a tak zadané stavby (Žlutý FIDIC). Žádáme zadavatele o přehodnocení a prodloužení lhůty pro podání nabídek.</w:t>
      </w:r>
    </w:p>
    <w:p w14:paraId="41ABA0E4" w14:textId="77777777" w:rsidR="001D314E" w:rsidRDefault="001D314E" w:rsidP="001D314E">
      <w:pPr>
        <w:spacing w:after="0"/>
        <w:rPr>
          <w:rFonts w:eastAsia="Calibri" w:cs="Times New Roman"/>
          <w:b/>
          <w:lang w:eastAsia="cs-CZ"/>
        </w:rPr>
      </w:pPr>
    </w:p>
    <w:p w14:paraId="4D661DE3" w14:textId="704826EA" w:rsidR="00BD5319" w:rsidRPr="001D314E" w:rsidRDefault="00BD5319" w:rsidP="001D314E">
      <w:pPr>
        <w:spacing w:after="0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3603AA1" w14:textId="77777777" w:rsidR="000D5CA8" w:rsidRPr="001D314E" w:rsidRDefault="000D5CA8" w:rsidP="000D5CA8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1D314E">
        <w:rPr>
          <w:rFonts w:eastAsia="Times New Roman" w:cs="Times New Roman"/>
          <w:bCs/>
          <w:lang w:eastAsia="cs-CZ"/>
        </w:rPr>
        <w:t>Zadavatel si je vědom zájmu uchazečů o získání kvalitních podkladů a odpovědí během zadávací lhůty. Obdobné dotazy na prodloužení lhůty byly již zodpovězeny v rámci dotazů č. 10 a č. 20, na jejichž odpovědi tímto odkazujeme, neboť obsahují relevantní argumentaci.</w:t>
      </w:r>
    </w:p>
    <w:p w14:paraId="2DB61CAA" w14:textId="77777777" w:rsidR="000D5CA8" w:rsidRPr="001D314E" w:rsidRDefault="000D5CA8" w:rsidP="000D5CA8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3E7667FF" w14:textId="77777777" w:rsidR="000D5CA8" w:rsidRPr="001D314E" w:rsidRDefault="000D5CA8" w:rsidP="000D5CA8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1D314E">
        <w:rPr>
          <w:rFonts w:eastAsia="Times New Roman" w:cs="Times New Roman"/>
          <w:bCs/>
          <w:lang w:eastAsia="cs-CZ"/>
        </w:rPr>
        <w:t>Zadávací dokumentace byla zveřejněna včas a v přiměřeném rozsahu odpovídajícím fázi přípravy stavby ve stupni Záměru projektu (studie). Detailní projektová dokumentace bude následně zpracována jako součást plnění vybraného dodavatele v rámci metody Design &amp; Build.</w:t>
      </w:r>
    </w:p>
    <w:p w14:paraId="5F806AFD" w14:textId="77777777" w:rsidR="000D5CA8" w:rsidRPr="001D314E" w:rsidRDefault="000D5CA8" w:rsidP="000D5CA8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5C956571" w14:textId="77777777" w:rsidR="000D5CA8" w:rsidRPr="001D314E" w:rsidRDefault="000D5CA8" w:rsidP="000D5CA8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1D314E">
        <w:rPr>
          <w:rFonts w:eastAsia="Times New Roman" w:cs="Times New Roman"/>
          <w:bCs/>
          <w:lang w:eastAsia="cs-CZ"/>
        </w:rPr>
        <w:t>V průběhu lhůty pro podání nabídek zadavatel průběžně odpovídá na dotazy uchazečů a poskytuje potřebná vysvětlení, a to vždy bez zbytečného prodlení a ve lhůtách stanovených zákonem o zadávání veřejných zakázek. Lze rovněž konstatovat, že počet doručených dotazů je ve srovnání s obdobnými zakázkami spíše nižší, což svědčí o dostatečné srozumitelnosti a kvalitě zveřejněné zadávací dokumentace. Uchazeči tak mají k dispozici potřebné informace k odpovědnému zpracování nabídky bez nutnosti prodlužovat lhůtu pro její podání.</w:t>
      </w:r>
    </w:p>
    <w:p w14:paraId="6A6191B7" w14:textId="77777777" w:rsidR="000D5CA8" w:rsidRPr="001D314E" w:rsidRDefault="000D5CA8" w:rsidP="000D5CA8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3C200860" w14:textId="77777777" w:rsidR="000D5CA8" w:rsidRPr="001D314E" w:rsidRDefault="000D5CA8" w:rsidP="000D5CA8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1D314E">
        <w:rPr>
          <w:rFonts w:eastAsia="Times New Roman" w:cs="Times New Roman"/>
          <w:bCs/>
          <w:lang w:eastAsia="cs-CZ"/>
        </w:rPr>
        <w:t>Předmětná stavba má charakter bodové investice s dominantním objektem estakády, a zadavatel proto považuje stanovenou lhůtu za přiměřenou. Navíc je nutné, aby nabídky byly podány ve stanoveném termínu s ohledem na celkový harmonogram přípravy a realizace stavby a plánované obnovení železničního provozu v prosinci 2027.</w:t>
      </w:r>
    </w:p>
    <w:p w14:paraId="33EE1E1F" w14:textId="77777777" w:rsidR="000D5CA8" w:rsidRPr="001D314E" w:rsidRDefault="000D5CA8" w:rsidP="000D5CA8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51065D88" w14:textId="77777777" w:rsidR="000D5CA8" w:rsidRPr="001D314E" w:rsidRDefault="000D5CA8" w:rsidP="000D5CA8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1D314E">
        <w:rPr>
          <w:rFonts w:eastAsia="Times New Roman" w:cs="Times New Roman"/>
          <w:bCs/>
          <w:lang w:eastAsia="cs-CZ"/>
        </w:rPr>
        <w:t>Z těchto důvodů zadavatel lhůtu pro podání nabídek prodlužovat nebude.</w:t>
      </w:r>
    </w:p>
    <w:p w14:paraId="61D78FB1" w14:textId="77777777" w:rsidR="003F4FB4" w:rsidRPr="001D314E" w:rsidRDefault="003F4FB4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060FEDB" w14:textId="77777777" w:rsidR="001D314E" w:rsidRDefault="001D314E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  <w:bookmarkStart w:id="3" w:name="_Hlk216256892"/>
    </w:p>
    <w:p w14:paraId="77C80B76" w14:textId="1B09C1EA" w:rsidR="0021293D" w:rsidRPr="001D314E" w:rsidRDefault="0021293D" w:rsidP="0021293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D314E">
        <w:rPr>
          <w:rFonts w:eastAsia="Times New Roman" w:cs="Times New Roman"/>
          <w:b/>
          <w:lang w:eastAsia="cs-CZ"/>
        </w:rPr>
        <w:t>Dotaz č. 24:</w:t>
      </w:r>
    </w:p>
    <w:p w14:paraId="506CAC58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 xml:space="preserve">V souladu s § 98 zákona č. 134/2016 Sb., o zadávání veřejných zakázek (ZZVZ), tímto žádám o vysvětlení zadávací dokumentace, konkrétně části týkající se uvedení CPV kódů u veřejné zakázky </w:t>
      </w:r>
      <w:r w:rsidRPr="0021293D">
        <w:rPr>
          <w:rFonts w:eastAsia="Times New Roman" w:cs="Times New Roman"/>
          <w:bCs/>
          <w:i/>
          <w:iCs/>
          <w:lang w:eastAsia="cs-CZ"/>
        </w:rPr>
        <w:t>„Rekonstrukce úseku tratě Opava východ – Kravaře ve Slezsku“</w:t>
      </w:r>
      <w:r w:rsidRPr="0021293D">
        <w:rPr>
          <w:rFonts w:eastAsia="Times New Roman" w:cs="Times New Roman"/>
          <w:bCs/>
          <w:lang w:eastAsia="cs-CZ"/>
        </w:rPr>
        <w:t>.</w:t>
      </w:r>
    </w:p>
    <w:p w14:paraId="741C9D2F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V zadávací dokumentaci jsou uvedeny pouze následující CPV kódy:</w:t>
      </w:r>
    </w:p>
    <w:p w14:paraId="08C6FF86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45234110-0</w:t>
      </w:r>
    </w:p>
    <w:p w14:paraId="55457D70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45221112-0</w:t>
      </w:r>
    </w:p>
    <w:p w14:paraId="65EA0FA5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71320000-7</w:t>
      </w:r>
    </w:p>
    <w:p w14:paraId="5F67249A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12F404DC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Uvedené CPV kódy však zjevně nepokrývají skutečný věcný rozsah prací, který podle projektové dokumentace zahrnuje mimo jiné:</w:t>
      </w:r>
    </w:p>
    <w:p w14:paraId="366B2864" w14:textId="77777777" w:rsidR="0021293D" w:rsidRPr="0021293D" w:rsidRDefault="0021293D" w:rsidP="0021293D">
      <w:pPr>
        <w:numPr>
          <w:ilvl w:val="0"/>
          <w:numId w:val="8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komplexní železniční práce (kolejový svršek a spodek, zabezpečovací zařízení, sdělovací a kabelová technika),</w:t>
      </w:r>
    </w:p>
    <w:p w14:paraId="47F94E35" w14:textId="77777777" w:rsidR="0021293D" w:rsidRPr="0021293D" w:rsidRDefault="0021293D" w:rsidP="0021293D">
      <w:pPr>
        <w:numPr>
          <w:ilvl w:val="0"/>
          <w:numId w:val="8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 xml:space="preserve">práce spojené </w:t>
      </w:r>
      <w:proofErr w:type="spellStart"/>
      <w:r w:rsidRPr="0021293D">
        <w:rPr>
          <w:rFonts w:eastAsia="Times New Roman" w:cs="Times New Roman"/>
          <w:bCs/>
          <w:lang w:eastAsia="cs-CZ"/>
        </w:rPr>
        <w:t>srealizací</w:t>
      </w:r>
      <w:proofErr w:type="spellEnd"/>
      <w:r w:rsidRPr="0021293D">
        <w:rPr>
          <w:rFonts w:eastAsia="Times New Roman" w:cs="Times New Roman"/>
          <w:bCs/>
          <w:lang w:eastAsia="cs-CZ"/>
        </w:rPr>
        <w:t xml:space="preserve"> mostních objektů, včetně ocelových konstrukcí,</w:t>
      </w:r>
    </w:p>
    <w:p w14:paraId="423A24D7" w14:textId="77777777" w:rsidR="0021293D" w:rsidRPr="0021293D" w:rsidRDefault="0021293D" w:rsidP="0021293D">
      <w:pPr>
        <w:numPr>
          <w:ilvl w:val="0"/>
          <w:numId w:val="8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zemní práce,</w:t>
      </w:r>
    </w:p>
    <w:p w14:paraId="4BA420ED" w14:textId="77777777" w:rsidR="0021293D" w:rsidRPr="0021293D" w:rsidRDefault="0021293D" w:rsidP="0021293D">
      <w:pPr>
        <w:numPr>
          <w:ilvl w:val="0"/>
          <w:numId w:val="8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zásahy do vodního toku, vodohospodářské úpravy a odvodnění.</w:t>
      </w:r>
    </w:p>
    <w:p w14:paraId="728FEF3F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S ohledem na to, že CPV klasifikace podle nařízení (ES) č. 2195/2002 má sloužit k transparentnímu vymezení předmětu plnění, je neúplný výčet CPV kódů způsobilý:</w:t>
      </w:r>
    </w:p>
    <w:p w14:paraId="16DA4B36" w14:textId="77777777" w:rsidR="0021293D" w:rsidRPr="0021293D" w:rsidRDefault="0021293D" w:rsidP="0021293D">
      <w:pPr>
        <w:numPr>
          <w:ilvl w:val="0"/>
          <w:numId w:val="9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omezit okruh potenciálních dodavatelů,</w:t>
      </w:r>
    </w:p>
    <w:p w14:paraId="4F840BE4" w14:textId="77777777" w:rsidR="0021293D" w:rsidRPr="0021293D" w:rsidRDefault="0021293D" w:rsidP="0021293D">
      <w:pPr>
        <w:numPr>
          <w:ilvl w:val="0"/>
          <w:numId w:val="9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ztížit přípravu nabídky,</w:t>
      </w:r>
    </w:p>
    <w:p w14:paraId="17C9094A" w14:textId="77777777" w:rsidR="0021293D" w:rsidRPr="0021293D" w:rsidRDefault="0021293D" w:rsidP="0021293D">
      <w:pPr>
        <w:numPr>
          <w:ilvl w:val="0"/>
          <w:numId w:val="9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a vyvolat pochybnosti o dodržení zásady transparentnosti a rovného zacházení dle § 6 ZZVZ.</w:t>
      </w:r>
    </w:p>
    <w:p w14:paraId="16761F19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4C93B2EF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Z tohoto důvodu žádám o:</w:t>
      </w:r>
    </w:p>
    <w:p w14:paraId="59446525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1. Vysvětlení výběru použitých CPV kódů</w:t>
      </w:r>
    </w:p>
    <w:p w14:paraId="2FE932FB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lastRenderedPageBreak/>
        <w:t xml:space="preserve">a sdělení, na </w:t>
      </w:r>
      <w:proofErr w:type="gramStart"/>
      <w:r w:rsidRPr="0021293D">
        <w:rPr>
          <w:rFonts w:eastAsia="Times New Roman" w:cs="Times New Roman"/>
          <w:bCs/>
          <w:lang w:eastAsia="cs-CZ"/>
        </w:rPr>
        <w:t>základě</w:t>
      </w:r>
      <w:proofErr w:type="gramEnd"/>
      <w:r w:rsidRPr="0021293D">
        <w:rPr>
          <w:rFonts w:eastAsia="Times New Roman" w:cs="Times New Roman"/>
          <w:bCs/>
          <w:lang w:eastAsia="cs-CZ"/>
        </w:rPr>
        <w:t xml:space="preserve"> jakých kritérií byly vybrány právě tyto tři kódy, když zjevně nepokrývají celý předmět veřejné zakázky.</w:t>
      </w:r>
    </w:p>
    <w:p w14:paraId="2055884C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2. Informaci, zda zadavatel doplní další relevantní CPV kódy, zejména z oblastí:</w:t>
      </w:r>
    </w:p>
    <w:p w14:paraId="0C5A9F88" w14:textId="77777777" w:rsidR="0021293D" w:rsidRPr="0021293D" w:rsidRDefault="0021293D" w:rsidP="0021293D">
      <w:pPr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mostních a ocelových konstrukcí</w:t>
      </w:r>
    </w:p>
    <w:p w14:paraId="0BA6E8AB" w14:textId="77777777" w:rsidR="0021293D" w:rsidRPr="0021293D" w:rsidRDefault="0021293D" w:rsidP="0021293D">
      <w:pPr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betonářské práce</w:t>
      </w:r>
    </w:p>
    <w:p w14:paraId="1D38ADCF" w14:textId="77777777" w:rsidR="0021293D" w:rsidRPr="0021293D" w:rsidRDefault="0021293D" w:rsidP="0021293D">
      <w:pPr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zemních prací</w:t>
      </w:r>
    </w:p>
    <w:p w14:paraId="22708ED4" w14:textId="77777777" w:rsidR="0021293D" w:rsidRPr="0021293D" w:rsidRDefault="0021293D" w:rsidP="0021293D">
      <w:pPr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práce na železničním zabezpečovacím zařízení</w:t>
      </w:r>
    </w:p>
    <w:p w14:paraId="5324306F" w14:textId="77777777" w:rsidR="0021293D" w:rsidRPr="0021293D" w:rsidRDefault="0021293D" w:rsidP="0021293D">
      <w:pPr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vodohospodářských úprav a zásahů do vodních toků</w:t>
      </w:r>
    </w:p>
    <w:p w14:paraId="2E62EEDD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24725447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3. Návrh na prodloužení lhůty pro podání nabídek</w:t>
      </w:r>
    </w:p>
    <w:p w14:paraId="5117DFEA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Pokud zadavatel přistoupí k doplnění CPV kódů nebo upřesnění předmětu plnění, žádám zároveň – v souladu s § 40 odst. 3 ZZVZ – o přiměřené prodloužení lhůty pro podání nabídek.</w:t>
      </w:r>
    </w:p>
    <w:p w14:paraId="1BF5EFB9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44FA4C45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Doplnění CPV kódů a upřesnění věcného rozsahu prací může významně ovlivnit:</w:t>
      </w:r>
    </w:p>
    <w:p w14:paraId="514CD885" w14:textId="77777777" w:rsidR="0021293D" w:rsidRPr="0021293D" w:rsidRDefault="0021293D" w:rsidP="0021293D">
      <w:pPr>
        <w:numPr>
          <w:ilvl w:val="0"/>
          <w:numId w:val="11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okruh možných dodavatelů, kalkulaci nákladů, volbu subdodavatelů, přípravu technické části nabídky.</w:t>
      </w:r>
    </w:p>
    <w:p w14:paraId="0C1B3DE9" w14:textId="77777777" w:rsidR="0021293D" w:rsidRPr="0021293D" w:rsidRDefault="0021293D" w:rsidP="0021293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21293D">
        <w:rPr>
          <w:rFonts w:eastAsia="Times New Roman" w:cs="Times New Roman"/>
          <w:bCs/>
          <w:lang w:eastAsia="cs-CZ"/>
        </w:rPr>
        <w:t>Z tohoto důvodu považuji prodloužení lhůty za nezbytné pro zajištění rovných podmínek účasti a předcházení diskriminačním dopadům dle § 6 ZZVZ</w:t>
      </w:r>
    </w:p>
    <w:p w14:paraId="182FEC50" w14:textId="77777777" w:rsidR="0021293D" w:rsidRPr="0021293D" w:rsidRDefault="0021293D" w:rsidP="00BD5319">
      <w:pPr>
        <w:spacing w:after="0" w:line="240" w:lineRule="auto"/>
        <w:rPr>
          <w:rFonts w:eastAsia="Times New Roman" w:cs="Times New Roman"/>
          <w:bCs/>
          <w:lang w:eastAsia="cs-CZ"/>
        </w:rPr>
      </w:pPr>
    </w:p>
    <w:bookmarkEnd w:id="3"/>
    <w:p w14:paraId="78B19AE7" w14:textId="0BB44860" w:rsidR="003F4FB4" w:rsidRPr="00E72746" w:rsidRDefault="00E72746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72746">
        <w:rPr>
          <w:rFonts w:eastAsia="Times New Roman" w:cs="Times New Roman"/>
          <w:b/>
          <w:lang w:eastAsia="cs-CZ"/>
        </w:rPr>
        <w:t>Odp</w:t>
      </w:r>
      <w:r w:rsidR="001D314E">
        <w:rPr>
          <w:rFonts w:eastAsia="Times New Roman" w:cs="Times New Roman"/>
          <w:b/>
          <w:lang w:eastAsia="cs-CZ"/>
        </w:rPr>
        <w:t>o</w:t>
      </w:r>
      <w:r w:rsidRPr="00E72746">
        <w:rPr>
          <w:rFonts w:eastAsia="Times New Roman" w:cs="Times New Roman"/>
          <w:b/>
          <w:lang w:eastAsia="cs-CZ"/>
        </w:rPr>
        <w:t>věď:</w:t>
      </w:r>
    </w:p>
    <w:p w14:paraId="5C1DA7B3" w14:textId="6462F185" w:rsidR="00E72746" w:rsidRPr="001D314E" w:rsidRDefault="00E72746" w:rsidP="00E727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314E">
        <w:rPr>
          <w:rFonts w:eastAsia="Times New Roman" w:cs="Times New Roman"/>
          <w:lang w:eastAsia="cs-CZ"/>
        </w:rPr>
        <w:t xml:space="preserve">Zadavatel uvádí, že jím zvolená klasifikace CPV kódů byla stanovena v souladu s účelem nařízení (ES) č. 2195/2002, tj. pro jednoznačné vymezení hlavního předmětu veřejné zakázky. </w:t>
      </w:r>
    </w:p>
    <w:p w14:paraId="78B77370" w14:textId="77777777" w:rsidR="00E72746" w:rsidRPr="001D314E" w:rsidRDefault="00E72746" w:rsidP="00E7274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0D481BB" w14:textId="77777777" w:rsidR="00E72746" w:rsidRPr="001D314E" w:rsidRDefault="00E72746" w:rsidP="00E727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314E">
        <w:rPr>
          <w:rFonts w:eastAsia="Times New Roman" w:cs="Times New Roman"/>
          <w:lang w:eastAsia="cs-CZ"/>
        </w:rPr>
        <w:t>Uvedené CPV kódy:</w:t>
      </w:r>
    </w:p>
    <w:p w14:paraId="6381A817" w14:textId="77777777" w:rsidR="00E72746" w:rsidRPr="001D314E" w:rsidRDefault="00E72746" w:rsidP="00E72746">
      <w:pPr>
        <w:numPr>
          <w:ilvl w:val="0"/>
          <w:numId w:val="12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314E">
        <w:rPr>
          <w:rFonts w:eastAsia="Times New Roman" w:cs="Times New Roman"/>
          <w:lang w:eastAsia="cs-CZ"/>
        </w:rPr>
        <w:t>45234110-0 – Výstavba meziměstských železničních drah</w:t>
      </w:r>
    </w:p>
    <w:p w14:paraId="001A6D4D" w14:textId="77777777" w:rsidR="00E72746" w:rsidRPr="001D314E" w:rsidRDefault="00E72746" w:rsidP="00E72746">
      <w:pPr>
        <w:numPr>
          <w:ilvl w:val="0"/>
          <w:numId w:val="12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314E">
        <w:rPr>
          <w:rFonts w:eastAsia="Times New Roman" w:cs="Times New Roman"/>
          <w:lang w:eastAsia="cs-CZ"/>
        </w:rPr>
        <w:t>45221112-0 – Výstavba železničních mostů</w:t>
      </w:r>
    </w:p>
    <w:p w14:paraId="10DFC884" w14:textId="77777777" w:rsidR="00E72746" w:rsidRPr="001D314E" w:rsidRDefault="00E72746" w:rsidP="00E72746">
      <w:pPr>
        <w:numPr>
          <w:ilvl w:val="0"/>
          <w:numId w:val="12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314E">
        <w:rPr>
          <w:rFonts w:eastAsia="Times New Roman" w:cs="Times New Roman"/>
          <w:lang w:eastAsia="cs-CZ"/>
        </w:rPr>
        <w:t>71320000-7 – Technické projektování</w:t>
      </w:r>
    </w:p>
    <w:p w14:paraId="741C2381" w14:textId="77777777" w:rsidR="00E72746" w:rsidRPr="001D314E" w:rsidRDefault="00E72746" w:rsidP="00E727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314E">
        <w:rPr>
          <w:rFonts w:eastAsia="Times New Roman" w:cs="Times New Roman"/>
          <w:lang w:eastAsia="cs-CZ"/>
        </w:rPr>
        <w:t xml:space="preserve">dle názoru zadavatele odpovídají hlavním činnostem, které tvoří podstatný rozsah plnění. </w:t>
      </w:r>
    </w:p>
    <w:p w14:paraId="768AF2DE" w14:textId="77777777" w:rsidR="00E72746" w:rsidRPr="001D314E" w:rsidRDefault="00E72746" w:rsidP="00E7274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B942D5A" w14:textId="77777777" w:rsidR="00E72746" w:rsidRPr="001D314E" w:rsidRDefault="00E72746" w:rsidP="00E727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314E">
        <w:rPr>
          <w:rFonts w:eastAsia="Times New Roman" w:cs="Times New Roman"/>
          <w:lang w:eastAsia="cs-CZ"/>
        </w:rPr>
        <w:t>Předmětem plnění veřejné zakázky je zhotovení projektové dokumentace a stavby železniční dráhy. Z toho důvodu zadavatel zvolil tomu odpovídající CPV kódy, viz CPV kód 71320000-7 – Technické projektování a CPV kód 45234110-0 – Výstavba meziměstských železničních drah. Jelikož hlavním, resp. dominantním objektem stavby dráhy je stavba nové železniční estakády, rozhodl se zadavatel uvést i CPV kód 45221112-0 – Výstavba železničních mostů, který akcentuje uvedenou skutečnost.</w:t>
      </w:r>
    </w:p>
    <w:p w14:paraId="0E9CB588" w14:textId="77777777" w:rsidR="00E72746" w:rsidRPr="001D314E" w:rsidRDefault="00E72746" w:rsidP="00E7274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CECE219" w14:textId="77777777" w:rsidR="00E72746" w:rsidRPr="001D314E" w:rsidRDefault="00E72746" w:rsidP="00E727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314E">
        <w:rPr>
          <w:rFonts w:eastAsia="Times New Roman" w:cs="Times New Roman"/>
          <w:lang w:eastAsia="cs-CZ"/>
        </w:rPr>
        <w:t>Uvedené kódy zahrnují veškeré práce nezbytné pro realizaci předmětu zakázky (tj. stavbu železniční dráhy), včetně všech činností, které uvádíte ve svém dotazu. Kolejový svršek a spodek, zabezpečovací zařízení, sdělovací a kabelová technika, mostní konstrukce, zemní práce lze všechny zahrnout pod CPV kód 45234110-0 – Výstavba meziměstských železničních drah, neboť výstavba meziměstských železničních drah z logiky věci musí obsahovat veškeré dílčí a specializované stavební práce a činnosti, které jsou obvyklou náplní předmětu plnění obdobných staveb železničních drah. S ohledem na dominantní část stavby, kterou představuje stavba nové železniční estakády, pak zadavatel jako další vymezil CPV kód 45221112-0 – Výstavba železničních mostů, kterým poukázal na to, že právě železniční most tvoří rozhodující část předmětu plnění veřejné zakázky, a umožnil tak zúčastnit se zadávacího řízení a podat nabídku i dodavatelům specializujícím se na stavby železničních mostů. Pokud jde o betonářské práce, zemní práce či zásahy do vodního toku a vodohospodářské úpravy, také v tomto případě platí, že tyto dílčí práce jsou obvyklou součástí komplexních železničních staveb, popřípadě staveb železničních mostů a spadají tedy pod vymezené CPV kódy a z tohoto důvodu není nezbytné, a s ohledem na alespoň základní přehlednost zadávacích podmínek ani žádoucí, aby zadávací dokumentace obsahovala vymezení CPV kódů pro veškeré dílčí stavební práce, služby a dodávky, které tvoří součást předmětu plnění veřejné zakázky, neboť v takovém případě by zadávací dokumentace obsahovala minimálně desítky CPV kódů.</w:t>
      </w:r>
    </w:p>
    <w:p w14:paraId="16AA9BB2" w14:textId="77777777" w:rsidR="00E72746" w:rsidRPr="001D314E" w:rsidRDefault="00E72746" w:rsidP="00E7274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23C180" w14:textId="77777777" w:rsidR="00E72746" w:rsidRPr="001D314E" w:rsidRDefault="00E72746" w:rsidP="00E727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314E">
        <w:rPr>
          <w:rFonts w:eastAsia="Times New Roman" w:cs="Times New Roman"/>
          <w:lang w:eastAsia="cs-CZ"/>
        </w:rPr>
        <w:t>S ohledem na uvedené nepovažuje zadavatel za nutné doplňovat další CPV kódy, jelikož tak, jak jsou CPV kódy vymezeny nyní, je odůvodněno předmětem plnění veřejné zakázky, a tato skutečnost nemá jakýkoli vliv na transparentnost zadávacího řízení ani na možnost podat nabídku. Zvolený postup je podle zadavatele plně v souladu se zásadou transparentnosti a rovného zacházení dle § 6 ZZVZ.</w:t>
      </w:r>
    </w:p>
    <w:p w14:paraId="38C30A11" w14:textId="77777777" w:rsidR="00E72746" w:rsidRPr="001D314E" w:rsidRDefault="00E72746" w:rsidP="00E7274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D65FB5A" w14:textId="77777777" w:rsidR="00E72746" w:rsidRPr="001D314E" w:rsidRDefault="00E72746" w:rsidP="00E7274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314E">
        <w:rPr>
          <w:rFonts w:eastAsia="Times New Roman" w:cs="Times New Roman"/>
          <w:lang w:eastAsia="cs-CZ"/>
        </w:rPr>
        <w:t>Z uvedeného důvodu nebude zadavatel provádět změnu zadávací dokumentace ani prodlužovat lhůtu pro podání nabídek.</w:t>
      </w:r>
    </w:p>
    <w:p w14:paraId="3F642786" w14:textId="77777777" w:rsidR="00E72746" w:rsidRDefault="00E7274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9B5B9ED" w14:textId="77777777" w:rsidR="00664163" w:rsidRPr="00C87717" w:rsidRDefault="00664163" w:rsidP="001D314E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D7DDE8" w14:textId="73EA73D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3BF8665E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314E">
        <w:rPr>
          <w:rFonts w:eastAsia="Calibri" w:cs="Times New Roman"/>
          <w:lang w:eastAsia="cs-CZ"/>
        </w:rPr>
        <w:t xml:space="preserve">V Olomouci dne </w:t>
      </w:r>
      <w:r w:rsidR="001D314E" w:rsidRPr="001D314E">
        <w:rPr>
          <w:rFonts w:eastAsia="Calibri" w:cs="Times New Roman"/>
          <w:lang w:eastAsia="cs-CZ"/>
        </w:rPr>
        <w:t>12. 12. 2025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1D314E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D314E">
        <w:rPr>
          <w:rFonts w:eastAsia="Times New Roman" w:cs="Times New Roman"/>
          <w:b/>
          <w:bCs/>
          <w:lang w:eastAsia="cs-CZ"/>
        </w:rPr>
        <w:t>Ing. Miroslav Bocák</w:t>
      </w:r>
      <w:r w:rsidRPr="001D314E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1D314E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1D314E">
        <w:rPr>
          <w:rFonts w:eastAsia="Times New Roman" w:cs="Times New Roman"/>
          <w:lang w:eastAsia="cs-CZ"/>
        </w:rPr>
        <w:t>ředitel organizační jednotky</w:t>
      </w:r>
      <w:r w:rsidRPr="001D314E">
        <w:rPr>
          <w:rFonts w:eastAsia="Times New Roman" w:cs="Times New Roman"/>
          <w:lang w:eastAsia="cs-CZ"/>
        </w:rPr>
        <w:tab/>
      </w:r>
    </w:p>
    <w:p w14:paraId="5DEDC136" w14:textId="77777777" w:rsidR="00664163" w:rsidRPr="001D314E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1D314E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1D314E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475A2" w14:textId="77777777" w:rsidR="00447501" w:rsidRDefault="00447501" w:rsidP="00962258">
      <w:pPr>
        <w:spacing w:after="0" w:line="240" w:lineRule="auto"/>
      </w:pPr>
      <w:r>
        <w:separator/>
      </w:r>
    </w:p>
  </w:endnote>
  <w:endnote w:type="continuationSeparator" w:id="0">
    <w:p w14:paraId="271C41AA" w14:textId="77777777" w:rsidR="00447501" w:rsidRDefault="004475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4C942" w14:textId="77777777" w:rsidR="00447501" w:rsidRDefault="00447501" w:rsidP="00962258">
      <w:pPr>
        <w:spacing w:after="0" w:line="240" w:lineRule="auto"/>
      </w:pPr>
      <w:r>
        <w:separator/>
      </w:r>
    </w:p>
  </w:footnote>
  <w:footnote w:type="continuationSeparator" w:id="0">
    <w:p w14:paraId="6517D366" w14:textId="77777777" w:rsidR="00447501" w:rsidRDefault="004475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4E3FEC"/>
    <w:multiLevelType w:val="multilevel"/>
    <w:tmpl w:val="229C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4E66CE"/>
    <w:multiLevelType w:val="multilevel"/>
    <w:tmpl w:val="86F4D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50DD02B0"/>
    <w:multiLevelType w:val="multilevel"/>
    <w:tmpl w:val="955C9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3631D2"/>
    <w:multiLevelType w:val="multilevel"/>
    <w:tmpl w:val="0EB0E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64576F3"/>
    <w:multiLevelType w:val="multilevel"/>
    <w:tmpl w:val="40F2D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5"/>
  </w:num>
  <w:num w:numId="4" w16cid:durableId="1834292179">
    <w:abstractNumId w:val="10"/>
  </w:num>
  <w:num w:numId="5" w16cid:durableId="1470241154">
    <w:abstractNumId w:val="0"/>
  </w:num>
  <w:num w:numId="6" w16cid:durableId="848255171">
    <w:abstractNumId w:val="7"/>
  </w:num>
  <w:num w:numId="7" w16cid:durableId="218832763">
    <w:abstractNumId w:val="6"/>
  </w:num>
  <w:num w:numId="8" w16cid:durableId="943077464">
    <w:abstractNumId w:val="11"/>
  </w:num>
  <w:num w:numId="9" w16cid:durableId="1049376314">
    <w:abstractNumId w:val="3"/>
  </w:num>
  <w:num w:numId="10" w16cid:durableId="173419056">
    <w:abstractNumId w:val="9"/>
  </w:num>
  <w:num w:numId="11" w16cid:durableId="973020441">
    <w:abstractNumId w:val="4"/>
  </w:num>
  <w:num w:numId="12" w16cid:durableId="870143108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6116"/>
    <w:rsid w:val="00072C1E"/>
    <w:rsid w:val="00097042"/>
    <w:rsid w:val="000B3A82"/>
    <w:rsid w:val="000B6C7E"/>
    <w:rsid w:val="000B7907"/>
    <w:rsid w:val="000C0429"/>
    <w:rsid w:val="000C45E8"/>
    <w:rsid w:val="000D5CA8"/>
    <w:rsid w:val="00114472"/>
    <w:rsid w:val="001267E4"/>
    <w:rsid w:val="00170EC5"/>
    <w:rsid w:val="001747C1"/>
    <w:rsid w:val="0018596A"/>
    <w:rsid w:val="001B69C2"/>
    <w:rsid w:val="001C4DA0"/>
    <w:rsid w:val="001D314E"/>
    <w:rsid w:val="00207DF5"/>
    <w:rsid w:val="0021293D"/>
    <w:rsid w:val="00267369"/>
    <w:rsid w:val="0026785D"/>
    <w:rsid w:val="00273CE2"/>
    <w:rsid w:val="00296D39"/>
    <w:rsid w:val="002A59FE"/>
    <w:rsid w:val="002B25D0"/>
    <w:rsid w:val="002C31BF"/>
    <w:rsid w:val="002E0CD7"/>
    <w:rsid w:val="002F026B"/>
    <w:rsid w:val="0033209D"/>
    <w:rsid w:val="00335122"/>
    <w:rsid w:val="00335732"/>
    <w:rsid w:val="00357BC6"/>
    <w:rsid w:val="00357EE7"/>
    <w:rsid w:val="0037111D"/>
    <w:rsid w:val="003756B9"/>
    <w:rsid w:val="003956C6"/>
    <w:rsid w:val="003E6B9A"/>
    <w:rsid w:val="003E75CE"/>
    <w:rsid w:val="003F4FB4"/>
    <w:rsid w:val="0041380F"/>
    <w:rsid w:val="00447501"/>
    <w:rsid w:val="00450F07"/>
    <w:rsid w:val="00453CD3"/>
    <w:rsid w:val="00455BC7"/>
    <w:rsid w:val="00460660"/>
    <w:rsid w:val="00460CCB"/>
    <w:rsid w:val="00472A94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2394F"/>
    <w:rsid w:val="00925237"/>
    <w:rsid w:val="00934DC3"/>
    <w:rsid w:val="00936091"/>
    <w:rsid w:val="00940D8A"/>
    <w:rsid w:val="00950506"/>
    <w:rsid w:val="0095327E"/>
    <w:rsid w:val="00962258"/>
    <w:rsid w:val="00962C6D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D643F"/>
    <w:rsid w:val="009E07F4"/>
    <w:rsid w:val="009F392E"/>
    <w:rsid w:val="00A44328"/>
    <w:rsid w:val="00A509D7"/>
    <w:rsid w:val="00A6177B"/>
    <w:rsid w:val="00A66136"/>
    <w:rsid w:val="00A943B5"/>
    <w:rsid w:val="00AA4CBB"/>
    <w:rsid w:val="00AA65FA"/>
    <w:rsid w:val="00AA7351"/>
    <w:rsid w:val="00AB2AC3"/>
    <w:rsid w:val="00AC56A4"/>
    <w:rsid w:val="00AD056F"/>
    <w:rsid w:val="00AD2773"/>
    <w:rsid w:val="00AD6731"/>
    <w:rsid w:val="00AE1DDE"/>
    <w:rsid w:val="00B04A70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B3740"/>
    <w:rsid w:val="00BB6065"/>
    <w:rsid w:val="00BD5319"/>
    <w:rsid w:val="00BD7E91"/>
    <w:rsid w:val="00BE069D"/>
    <w:rsid w:val="00BF374D"/>
    <w:rsid w:val="00BF6D48"/>
    <w:rsid w:val="00C02D0A"/>
    <w:rsid w:val="00C03A6E"/>
    <w:rsid w:val="00C30759"/>
    <w:rsid w:val="00C44F6A"/>
    <w:rsid w:val="00C544F4"/>
    <w:rsid w:val="00C6581F"/>
    <w:rsid w:val="00C727E5"/>
    <w:rsid w:val="00C8207D"/>
    <w:rsid w:val="00CB5457"/>
    <w:rsid w:val="00CB7B5A"/>
    <w:rsid w:val="00CC1E2B"/>
    <w:rsid w:val="00CD1FC4"/>
    <w:rsid w:val="00CE371D"/>
    <w:rsid w:val="00D02A4D"/>
    <w:rsid w:val="00D21061"/>
    <w:rsid w:val="00D316A7"/>
    <w:rsid w:val="00D4108E"/>
    <w:rsid w:val="00D42223"/>
    <w:rsid w:val="00D548C8"/>
    <w:rsid w:val="00D6163D"/>
    <w:rsid w:val="00D63009"/>
    <w:rsid w:val="00D831A3"/>
    <w:rsid w:val="00D902AD"/>
    <w:rsid w:val="00DA6FFE"/>
    <w:rsid w:val="00DC1E89"/>
    <w:rsid w:val="00DC3110"/>
    <w:rsid w:val="00DD46F3"/>
    <w:rsid w:val="00DD58A6"/>
    <w:rsid w:val="00DE56F2"/>
    <w:rsid w:val="00DF116D"/>
    <w:rsid w:val="00E10710"/>
    <w:rsid w:val="00E72746"/>
    <w:rsid w:val="00E824F1"/>
    <w:rsid w:val="00E87460"/>
    <w:rsid w:val="00E9347D"/>
    <w:rsid w:val="00EB104F"/>
    <w:rsid w:val="00ED14BD"/>
    <w:rsid w:val="00EE75CB"/>
    <w:rsid w:val="00F01440"/>
    <w:rsid w:val="00F12DEC"/>
    <w:rsid w:val="00F1715C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93183"/>
    <w:rsid w:val="00FB4818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1313</TotalTime>
  <Pages>4</Pages>
  <Words>1481</Words>
  <Characters>8946</Characters>
  <Application>Microsoft Office Word</Application>
  <DocSecurity>0</DocSecurity>
  <Lines>248</Lines>
  <Paragraphs>103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10</cp:revision>
  <cp:lastPrinted>2019-02-22T13:28:00Z</cp:lastPrinted>
  <dcterms:created xsi:type="dcterms:W3CDTF">2025-09-22T08:59:00Z</dcterms:created>
  <dcterms:modified xsi:type="dcterms:W3CDTF">2025-12-12T07:05:00Z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